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95F" w:rsidRDefault="0038195F" w:rsidP="0038195F">
      <w:pPr>
        <w:spacing w:line="276" w:lineRule="auto"/>
        <w:ind w:right="-1"/>
        <w:jc w:val="both"/>
        <w:rPr>
          <w:rFonts w:asciiTheme="majorBidi" w:hAnsiTheme="majorBidi" w:cstheme="majorBidi"/>
          <w:b/>
          <w:bCs/>
        </w:rPr>
      </w:pPr>
    </w:p>
    <w:p w:rsidR="001F1819" w:rsidRPr="0038195F" w:rsidRDefault="0038195F" w:rsidP="0038195F">
      <w:pPr>
        <w:spacing w:line="276" w:lineRule="auto"/>
        <w:ind w:right="-1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C</w:t>
      </w:r>
      <w:r w:rsidR="00B72F2E" w:rsidRPr="00B72F2E">
        <w:rPr>
          <w:rFonts w:asciiTheme="majorBidi" w:hAnsiTheme="majorBidi" w:cstheme="majorBidi"/>
          <w:b/>
          <w:bCs/>
        </w:rPr>
        <w:t>hapitre I</w:t>
      </w:r>
      <w:r>
        <w:rPr>
          <w:rFonts w:asciiTheme="majorBidi" w:hAnsiTheme="majorBidi" w:cstheme="majorBidi"/>
          <w:b/>
          <w:bCs/>
        </w:rPr>
        <w:t xml:space="preserve"> : </w:t>
      </w:r>
      <w:r w:rsidRPr="0038195F">
        <w:rPr>
          <w:rFonts w:asciiTheme="majorBidi" w:hAnsiTheme="majorBidi" w:cstheme="majorBidi"/>
          <w:b/>
          <w:bCs/>
        </w:rPr>
        <w:t xml:space="preserve">Rappel historique sur l’onde de rupture d’un barrage et ces conséquences   </w:t>
      </w:r>
      <w:r w:rsidR="00824387" w:rsidRPr="0038195F">
        <w:rPr>
          <w:rFonts w:asciiTheme="majorBidi" w:hAnsiTheme="majorBidi" w:cstheme="majorBidi"/>
          <w:b/>
          <w:bCs/>
        </w:rPr>
        <w:t xml:space="preserve">  </w:t>
      </w:r>
    </w:p>
    <w:p w:rsidR="00824387" w:rsidRPr="00B72F2E" w:rsidRDefault="00824387" w:rsidP="00B72F2E">
      <w:pPr>
        <w:spacing w:line="276" w:lineRule="auto"/>
        <w:ind w:right="-1"/>
        <w:jc w:val="both"/>
        <w:rPr>
          <w:rFonts w:asciiTheme="majorBidi" w:hAnsiTheme="majorBidi" w:cstheme="majorBidi"/>
          <w:b/>
          <w:bCs/>
        </w:rPr>
      </w:pPr>
    </w:p>
    <w:tbl>
      <w:tblPr>
        <w:tblStyle w:val="Ombrageclair"/>
        <w:tblW w:w="9180" w:type="dxa"/>
        <w:tblLook w:val="04A0"/>
      </w:tblPr>
      <w:tblGrid>
        <w:gridCol w:w="7905"/>
        <w:gridCol w:w="1275"/>
      </w:tblGrid>
      <w:tr w:rsidR="001F1819" w:rsidRPr="00B72F2E" w:rsidTr="00CB7EEB">
        <w:trPr>
          <w:cnfStyle w:val="100000000000"/>
        </w:trPr>
        <w:tc>
          <w:tcPr>
            <w:cnfStyle w:val="001000000000"/>
            <w:tcW w:w="7905" w:type="dxa"/>
          </w:tcPr>
          <w:p w:rsidR="001F1819" w:rsidRPr="00B72F2E" w:rsidRDefault="001F1819" w:rsidP="00824387">
            <w:pPr>
              <w:pStyle w:val="Paragraphedeliste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72F2E">
              <w:rPr>
                <w:rFonts w:asciiTheme="majorBidi" w:hAnsiTheme="majorBidi" w:cstheme="majorBidi"/>
                <w:sz w:val="24"/>
                <w:szCs w:val="24"/>
              </w:rPr>
              <w:t>Figure I.1 : Rupture par renard.</w:t>
            </w:r>
          </w:p>
        </w:tc>
        <w:tc>
          <w:tcPr>
            <w:tcW w:w="1275" w:type="dxa"/>
          </w:tcPr>
          <w:p w:rsidR="001F1819" w:rsidRPr="00B72F2E" w:rsidRDefault="00B05381" w:rsidP="00CB7EEB">
            <w:pPr>
              <w:spacing w:line="276" w:lineRule="auto"/>
              <w:jc w:val="center"/>
              <w:cnfStyle w:val="1000000000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F1819" w:rsidRPr="00B72F2E" w:rsidTr="00CB7EEB">
        <w:trPr>
          <w:cnfStyle w:val="000000100000"/>
        </w:trPr>
        <w:tc>
          <w:tcPr>
            <w:cnfStyle w:val="001000000000"/>
            <w:tcW w:w="7905" w:type="dxa"/>
          </w:tcPr>
          <w:p w:rsidR="001F1819" w:rsidRPr="00B72F2E" w:rsidRDefault="001F1819" w:rsidP="00824387">
            <w:pPr>
              <w:pStyle w:val="Paragraphedeliste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72F2E">
              <w:rPr>
                <w:rFonts w:asciiTheme="majorBidi" w:hAnsiTheme="majorBidi" w:cstheme="majorBidi"/>
                <w:sz w:val="24"/>
                <w:szCs w:val="24"/>
              </w:rPr>
              <w:t>Figure 1.2 : Rupture par sur verse.</w:t>
            </w:r>
          </w:p>
        </w:tc>
        <w:tc>
          <w:tcPr>
            <w:tcW w:w="1275" w:type="dxa"/>
          </w:tcPr>
          <w:p w:rsidR="001F1819" w:rsidRPr="00B72F2E" w:rsidRDefault="00B05381" w:rsidP="00CB7EEB">
            <w:pPr>
              <w:spacing w:line="276" w:lineRule="auto"/>
              <w:ind w:right="-77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F1819" w:rsidRPr="00B72F2E" w:rsidTr="00CB7EEB">
        <w:tc>
          <w:tcPr>
            <w:cnfStyle w:val="001000000000"/>
            <w:tcW w:w="7905" w:type="dxa"/>
          </w:tcPr>
          <w:p w:rsidR="001F1819" w:rsidRPr="00B72F2E" w:rsidRDefault="001F1819" w:rsidP="00824387">
            <w:pPr>
              <w:pStyle w:val="par"/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72F2E">
              <w:rPr>
                <w:rFonts w:asciiTheme="majorBidi" w:hAnsiTheme="majorBidi" w:cstheme="majorBidi"/>
                <w:sz w:val="24"/>
                <w:szCs w:val="24"/>
              </w:rPr>
              <w:t>Figure I.3 : Les différentes formes de la brèche.</w:t>
            </w:r>
          </w:p>
        </w:tc>
        <w:tc>
          <w:tcPr>
            <w:tcW w:w="1275" w:type="dxa"/>
          </w:tcPr>
          <w:p w:rsidR="001F1819" w:rsidRPr="00B72F2E" w:rsidRDefault="00B05381" w:rsidP="00CB7EEB">
            <w:pPr>
              <w:spacing w:line="276" w:lineRule="auto"/>
              <w:ind w:left="137" w:hanging="137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1F1819" w:rsidRPr="00B72F2E" w:rsidTr="00CB7EEB">
        <w:trPr>
          <w:cnfStyle w:val="000000100000"/>
        </w:trPr>
        <w:tc>
          <w:tcPr>
            <w:cnfStyle w:val="001000000000"/>
            <w:tcW w:w="7905" w:type="dxa"/>
          </w:tcPr>
          <w:p w:rsidR="001F1819" w:rsidRPr="00B72F2E" w:rsidRDefault="001F1819" w:rsidP="00B72F2E">
            <w:pPr>
              <w:pStyle w:val="par"/>
              <w:numPr>
                <w:ilvl w:val="0"/>
                <w:numId w:val="4"/>
              </w:numPr>
              <w:spacing w:after="200" w:line="276" w:lineRule="auto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 w:rsidRPr="00B72F2E">
              <w:rPr>
                <w:rFonts w:asciiTheme="majorBidi" w:hAnsiTheme="majorBidi" w:cstheme="majorBidi"/>
                <w:sz w:val="24"/>
                <w:szCs w:val="24"/>
              </w:rPr>
              <w:t xml:space="preserve">Figure. I.4 : Abaque:   </w:t>
            </w:r>
            <m:oMath>
              <m:f>
                <m:f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Theme="majorBidi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Q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max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Theme="majorBidi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Q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b</m:t>
                      </m:r>
                    </m:sub>
                  </m:sSub>
                </m:den>
              </m:f>
            </m:oMath>
            <w:r w:rsidRPr="00B72F2E">
              <w:rPr>
                <w:rFonts w:asciiTheme="majorBidi" w:hAnsiTheme="majorBidi" w:cstheme="majorBidi"/>
                <w:sz w:val="24"/>
                <w:szCs w:val="24"/>
              </w:rPr>
              <w:t xml:space="preserve"> = </w:t>
            </w:r>
            <w:r w:rsidRPr="00B72F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f </w:t>
            </w:r>
            <w:r w:rsidRPr="00B72F2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gramStart"/>
            <w:r w:rsidRPr="00B72F2E">
              <w:rPr>
                <w:rFonts w:asciiTheme="majorBidi" w:hAnsiTheme="majorBidi" w:cstheme="majorBidi"/>
                <w:sz w:val="24"/>
                <w:szCs w:val="24"/>
              </w:rPr>
              <w:t xml:space="preserve">( </w:t>
            </w:r>
            <m:oMath>
              <m:f>
                <m:f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fPr>
                <m:num>
                  <w:proofErr w:type="gramEnd"/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4"/>
                      <w:szCs w:val="24"/>
                    </w:rPr>
                    <m:t>x</m:t>
                  </m:r>
                </m:num>
                <m:den>
                  <m:sSubSup>
                    <m:sSubSupPr>
                      <m:ctrlPr>
                        <w:rPr>
                          <w:rFonts w:ascii="Cambria Math" w:hAnsiTheme="majorBidi" w:cstheme="majorBidi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Theme="majorBidi" w:cstheme="majorBidi"/>
                          <w:sz w:val="24"/>
                          <w:szCs w:val="24"/>
                        </w:rPr>
                        <m:t>V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Theme="majorBidi" w:cstheme="majorBidi"/>
                          <w:sz w:val="24"/>
                          <w:szCs w:val="24"/>
                        </w:rPr>
                        <m:t>v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Theme="majorBidi" w:cstheme="majorBidi"/>
                          <w:sz w:val="24"/>
                          <w:szCs w:val="24"/>
                        </w:rPr>
                        <m:t>1/3</m:t>
                      </m:r>
                    </m:sup>
                  </m:sSubSup>
                </m:den>
              </m:f>
            </m:oMath>
            <w:r w:rsidRPr="00B72F2E">
              <w:rPr>
                <w:rFonts w:asciiTheme="majorBidi" w:hAnsiTheme="majorBidi" w:cstheme="majorBidi"/>
                <w:sz w:val="24"/>
                <w:szCs w:val="24"/>
              </w:rPr>
              <w:t xml:space="preserve"> ,  </w:t>
            </w:r>
            <w:r w:rsidRPr="00B72F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j </w:t>
            </w:r>
            <m:oMath>
              <m:sSup>
                <m:sSup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4"/>
                      <w:szCs w:val="24"/>
                    </w:rPr>
                    <m:t>K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2</m:t>
                  </m:r>
                </m:sup>
              </m:sSup>
            </m:oMath>
            <w:r w:rsidRPr="00B72F2E">
              <w:rPr>
                <w:rFonts w:asciiTheme="majorBidi" w:hAnsiTheme="majorBidi" w:cstheme="majorBidi"/>
                <w:iCs/>
                <w:sz w:val="24"/>
                <w:szCs w:val="24"/>
              </w:rPr>
              <w:t xml:space="preserve"> ).</w:t>
            </w:r>
          </w:p>
        </w:tc>
        <w:tc>
          <w:tcPr>
            <w:tcW w:w="1275" w:type="dxa"/>
          </w:tcPr>
          <w:p w:rsidR="001F1819" w:rsidRPr="00B72F2E" w:rsidRDefault="00B05381" w:rsidP="00CB7EEB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1F1819" w:rsidRPr="00B72F2E" w:rsidTr="00CB7EEB">
        <w:tc>
          <w:tcPr>
            <w:cnfStyle w:val="001000000000"/>
            <w:tcW w:w="7905" w:type="dxa"/>
          </w:tcPr>
          <w:p w:rsidR="001F1819" w:rsidRPr="00824387" w:rsidRDefault="001F1819" w:rsidP="00824387">
            <w:pPr>
              <w:pStyle w:val="Paragraphedeliste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72F2E">
              <w:rPr>
                <w:rFonts w:asciiTheme="majorBidi" w:hAnsiTheme="majorBidi" w:cstheme="majorBidi"/>
                <w:sz w:val="24"/>
                <w:szCs w:val="24"/>
              </w:rPr>
              <w:t xml:space="preserve">Figure I.5 : Abaque : </w:t>
            </w:r>
            <m:oMath>
              <m:sSub>
                <m:sSubPr>
                  <m:ctrlPr>
                    <w:rPr>
                      <w:rFonts w:ascii="Cambria Math" w:hAnsiTheme="majorBidi" w:cstheme="majorBidi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4"/>
                      <w:szCs w:val="24"/>
                    </w:rPr>
                    <m:t>V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max</m:t>
                  </m:r>
                </m:sub>
              </m:sSub>
            </m:oMath>
            <w:r w:rsidRPr="00B72F2E">
              <w:rPr>
                <w:rFonts w:asciiTheme="majorBidi" w:hAnsiTheme="majorBidi" w:cstheme="majorBidi"/>
                <w:sz w:val="24"/>
                <w:szCs w:val="24"/>
              </w:rPr>
              <w:t xml:space="preserve"> = </w:t>
            </w:r>
            <w:r w:rsidRPr="00B72F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f</w:t>
            </w:r>
            <w:r w:rsidRPr="00B72F2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Theme="majorBidi" w:cstheme="majorBidi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D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max</m:t>
                  </m:r>
                </m:sub>
              </m:sSub>
            </m:oMath>
            <w:r w:rsidRPr="00B72F2E">
              <w:rPr>
                <w:rFonts w:asciiTheme="majorBidi" w:hAnsiTheme="majorBidi" w:cstheme="majorBidi"/>
                <w:sz w:val="24"/>
                <w:szCs w:val="24"/>
              </w:rPr>
              <w:t xml:space="preserve"> , type de brèche).</w:t>
            </w:r>
          </w:p>
        </w:tc>
        <w:tc>
          <w:tcPr>
            <w:tcW w:w="1275" w:type="dxa"/>
          </w:tcPr>
          <w:p w:rsidR="001F1819" w:rsidRPr="00B72F2E" w:rsidRDefault="00B05381" w:rsidP="00CB7EEB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1F1819" w:rsidRPr="00B72F2E" w:rsidTr="00CB7EEB">
        <w:trPr>
          <w:cnfStyle w:val="000000100000"/>
        </w:trPr>
        <w:tc>
          <w:tcPr>
            <w:cnfStyle w:val="001000000000"/>
            <w:tcW w:w="7905" w:type="dxa"/>
          </w:tcPr>
          <w:p w:rsidR="001F1819" w:rsidRPr="00B72F2E" w:rsidRDefault="001F1819" w:rsidP="00824387">
            <w:pPr>
              <w:pStyle w:val="Paragraphedeliste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72F2E">
              <w:rPr>
                <w:rFonts w:asciiTheme="majorBidi" w:eastAsia="LMRoman10-Bold" w:hAnsiTheme="majorBidi" w:cstheme="majorBidi"/>
                <w:sz w:val="24"/>
                <w:szCs w:val="24"/>
              </w:rPr>
              <w:t xml:space="preserve">Figure I.6: </w:t>
            </w:r>
            <w:r w:rsidRPr="00B72F2E">
              <w:rPr>
                <w:rFonts w:asciiTheme="majorBidi" w:hAnsiTheme="majorBidi" w:cstheme="majorBidi"/>
                <w:sz w:val="24"/>
                <w:szCs w:val="24"/>
              </w:rPr>
              <w:t>Écoulement résultant après la rupture.</w:t>
            </w:r>
          </w:p>
        </w:tc>
        <w:tc>
          <w:tcPr>
            <w:tcW w:w="1275" w:type="dxa"/>
          </w:tcPr>
          <w:p w:rsidR="001F1819" w:rsidRPr="00B72F2E" w:rsidRDefault="00B05381" w:rsidP="00CB7EEB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1F1819" w:rsidRPr="00B72F2E" w:rsidTr="00CB7EEB">
        <w:tc>
          <w:tcPr>
            <w:cnfStyle w:val="001000000000"/>
            <w:tcW w:w="7905" w:type="dxa"/>
          </w:tcPr>
          <w:p w:rsidR="001F1819" w:rsidRPr="00B72F2E" w:rsidRDefault="001F1819" w:rsidP="00B72F2E">
            <w:pPr>
              <w:pStyle w:val="Paragraphedeliste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72F2E">
              <w:rPr>
                <w:rFonts w:asciiTheme="majorBidi" w:eastAsia="LMRoman10-Bold" w:hAnsiTheme="majorBidi" w:cstheme="majorBidi"/>
                <w:sz w:val="24"/>
                <w:szCs w:val="24"/>
              </w:rPr>
              <w:t xml:space="preserve">Figure I.7 : </w:t>
            </w:r>
            <w:r w:rsidRPr="00B72F2E">
              <w:rPr>
                <w:rFonts w:asciiTheme="majorBidi" w:hAnsiTheme="majorBidi" w:cstheme="majorBidi"/>
                <w:sz w:val="24"/>
                <w:szCs w:val="24"/>
              </w:rPr>
              <w:t>Schéma de propagation latérale.</w:t>
            </w:r>
          </w:p>
        </w:tc>
        <w:tc>
          <w:tcPr>
            <w:tcW w:w="1275" w:type="dxa"/>
          </w:tcPr>
          <w:p w:rsidR="001F1819" w:rsidRPr="00B72F2E" w:rsidRDefault="00B05381" w:rsidP="00CB7EEB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</w:tr>
    </w:tbl>
    <w:p w:rsidR="00B0288D" w:rsidRPr="00B72F2E" w:rsidRDefault="00B0288D" w:rsidP="00B72F2E">
      <w:pPr>
        <w:spacing w:line="276" w:lineRule="auto"/>
        <w:jc w:val="both"/>
        <w:rPr>
          <w:rFonts w:asciiTheme="majorBidi" w:hAnsiTheme="majorBidi" w:cstheme="majorBidi"/>
          <w:b/>
          <w:bCs/>
        </w:rPr>
      </w:pPr>
    </w:p>
    <w:p w:rsidR="001F1819" w:rsidRPr="00B72F2E" w:rsidRDefault="00B72F2E" w:rsidP="0038195F">
      <w:pPr>
        <w:spacing w:line="276" w:lineRule="auto"/>
        <w:jc w:val="both"/>
        <w:rPr>
          <w:rFonts w:asciiTheme="majorBidi" w:hAnsiTheme="majorBidi" w:cstheme="majorBidi"/>
          <w:b/>
          <w:bCs/>
        </w:rPr>
      </w:pPr>
      <w:r w:rsidRPr="00B72F2E">
        <w:rPr>
          <w:rFonts w:asciiTheme="majorBidi" w:hAnsiTheme="majorBidi" w:cstheme="majorBidi"/>
          <w:b/>
          <w:bCs/>
        </w:rPr>
        <w:t>Chapitre II</w:t>
      </w:r>
      <w:r w:rsidR="0038195F">
        <w:rPr>
          <w:rFonts w:asciiTheme="majorBidi" w:hAnsiTheme="majorBidi" w:cstheme="majorBidi"/>
          <w:b/>
          <w:bCs/>
        </w:rPr>
        <w:t xml:space="preserve"> : Etablissement les équations de Saint Venant à deux dimensions </w:t>
      </w:r>
    </w:p>
    <w:p w:rsidR="00B0288D" w:rsidRPr="00B72F2E" w:rsidRDefault="00B0288D" w:rsidP="00B72F2E">
      <w:pPr>
        <w:spacing w:line="276" w:lineRule="auto"/>
        <w:jc w:val="both"/>
        <w:rPr>
          <w:rFonts w:asciiTheme="majorBidi" w:hAnsiTheme="majorBidi" w:cstheme="majorBidi"/>
          <w:b/>
          <w:bCs/>
        </w:rPr>
      </w:pPr>
    </w:p>
    <w:tbl>
      <w:tblPr>
        <w:tblStyle w:val="Ombrageclair"/>
        <w:tblW w:w="9180" w:type="dxa"/>
        <w:tblLook w:val="04A0"/>
      </w:tblPr>
      <w:tblGrid>
        <w:gridCol w:w="7905"/>
        <w:gridCol w:w="1275"/>
      </w:tblGrid>
      <w:tr w:rsidR="00B0288D" w:rsidRPr="00B72F2E" w:rsidTr="00CB7EEB">
        <w:trPr>
          <w:cnfStyle w:val="100000000000"/>
        </w:trPr>
        <w:tc>
          <w:tcPr>
            <w:cnfStyle w:val="001000000000"/>
            <w:tcW w:w="7905" w:type="dxa"/>
          </w:tcPr>
          <w:p w:rsidR="00B0288D" w:rsidRPr="00824387" w:rsidRDefault="0038195F" w:rsidP="00824387">
            <w:pPr>
              <w:pStyle w:val="Paragraphedeliste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II.1</w:t>
            </w:r>
            <w:r w:rsidR="00B0288D" w:rsidRPr="00B72F2E">
              <w:rPr>
                <w:rFonts w:asciiTheme="majorBidi" w:hAnsiTheme="majorBidi" w:cstheme="majorBidi"/>
                <w:sz w:val="24"/>
                <w:szCs w:val="24"/>
              </w:rPr>
              <w:t> : Volume de contrôle  élémentaire</w:t>
            </w:r>
          </w:p>
        </w:tc>
        <w:tc>
          <w:tcPr>
            <w:tcW w:w="1275" w:type="dxa"/>
          </w:tcPr>
          <w:p w:rsidR="00B0288D" w:rsidRPr="001B78ED" w:rsidRDefault="0038195F" w:rsidP="00CB7EEB">
            <w:pPr>
              <w:spacing w:line="276" w:lineRule="auto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19</w:t>
            </w:r>
          </w:p>
        </w:tc>
      </w:tr>
      <w:tr w:rsidR="00B0288D" w:rsidRPr="00B72F2E" w:rsidTr="00CB7EEB">
        <w:trPr>
          <w:cnfStyle w:val="000000100000"/>
        </w:trPr>
        <w:tc>
          <w:tcPr>
            <w:cnfStyle w:val="001000000000"/>
            <w:tcW w:w="7905" w:type="dxa"/>
          </w:tcPr>
          <w:p w:rsidR="00B0288D" w:rsidRPr="00B72F2E" w:rsidRDefault="0038195F" w:rsidP="00824387">
            <w:pPr>
              <w:pStyle w:val="Paragraphedeliste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Figure II.2</w:t>
            </w:r>
            <w:r w:rsidR="00B0288D" w:rsidRPr="00B72F2E">
              <w:rPr>
                <w:rFonts w:asciiTheme="majorBidi" w:hAnsiTheme="majorBidi" w:cstheme="majorBidi"/>
                <w:sz w:val="24"/>
                <w:szCs w:val="24"/>
              </w:rPr>
              <w:t> : Distribution de Pression dans Canal</w:t>
            </w:r>
          </w:p>
        </w:tc>
        <w:tc>
          <w:tcPr>
            <w:tcW w:w="1275" w:type="dxa"/>
          </w:tcPr>
          <w:p w:rsidR="00B0288D" w:rsidRPr="001B78ED" w:rsidRDefault="0038195F" w:rsidP="00CB7EEB">
            <w:pPr>
              <w:spacing w:line="276" w:lineRule="auto"/>
              <w:ind w:right="-77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</w:tr>
    </w:tbl>
    <w:p w:rsidR="00B0288D" w:rsidRPr="00B72F2E" w:rsidRDefault="00B0288D" w:rsidP="00B72F2E">
      <w:pPr>
        <w:spacing w:line="276" w:lineRule="auto"/>
        <w:rPr>
          <w:rFonts w:asciiTheme="majorBidi" w:hAnsiTheme="majorBidi" w:cstheme="majorBidi"/>
          <w:b/>
          <w:bCs/>
        </w:rPr>
      </w:pPr>
    </w:p>
    <w:p w:rsidR="001F1819" w:rsidRPr="00B72F2E" w:rsidRDefault="00B0288D" w:rsidP="00B72F2E">
      <w:pPr>
        <w:spacing w:line="276" w:lineRule="auto"/>
        <w:rPr>
          <w:rFonts w:asciiTheme="majorBidi" w:hAnsiTheme="majorBidi" w:cstheme="majorBidi"/>
          <w:b/>
          <w:bCs/>
        </w:rPr>
      </w:pPr>
      <w:r w:rsidRPr="00B72F2E">
        <w:rPr>
          <w:rFonts w:asciiTheme="majorBidi" w:hAnsiTheme="majorBidi" w:cstheme="majorBidi"/>
          <w:b/>
          <w:bCs/>
        </w:rPr>
        <w:t>C</w:t>
      </w:r>
      <w:r w:rsidR="00B72F2E" w:rsidRPr="00B72F2E">
        <w:rPr>
          <w:rFonts w:asciiTheme="majorBidi" w:hAnsiTheme="majorBidi" w:cstheme="majorBidi"/>
          <w:b/>
          <w:bCs/>
        </w:rPr>
        <w:t>hapitre III</w:t>
      </w:r>
      <w:r w:rsidR="0038195F">
        <w:rPr>
          <w:rFonts w:asciiTheme="majorBidi" w:hAnsiTheme="majorBidi" w:cstheme="majorBidi"/>
          <w:b/>
          <w:bCs/>
        </w:rPr>
        <w:t xml:space="preserve"> : Présentation du logiciel </w:t>
      </w:r>
      <w:proofErr w:type="spellStart"/>
      <w:r w:rsidR="0038195F">
        <w:rPr>
          <w:rFonts w:asciiTheme="majorBidi" w:hAnsiTheme="majorBidi" w:cstheme="majorBidi"/>
          <w:b/>
          <w:bCs/>
        </w:rPr>
        <w:t>comsol</w:t>
      </w:r>
      <w:proofErr w:type="spellEnd"/>
      <w:r w:rsidR="0038195F">
        <w:rPr>
          <w:rFonts w:asciiTheme="majorBidi" w:hAnsiTheme="majorBidi" w:cstheme="majorBidi"/>
          <w:b/>
          <w:bCs/>
        </w:rPr>
        <w:t xml:space="preserve"> (3.5).</w:t>
      </w:r>
    </w:p>
    <w:p w:rsidR="00B0288D" w:rsidRDefault="00B0288D" w:rsidP="00B72F2E">
      <w:pPr>
        <w:spacing w:line="276" w:lineRule="auto"/>
        <w:rPr>
          <w:rFonts w:asciiTheme="majorBidi" w:hAnsiTheme="majorBidi" w:cstheme="majorBidi"/>
          <w:b/>
          <w:bCs/>
        </w:rPr>
      </w:pPr>
    </w:p>
    <w:tbl>
      <w:tblPr>
        <w:tblStyle w:val="Ombrageclair"/>
        <w:tblW w:w="0" w:type="auto"/>
        <w:tblLook w:val="04A0"/>
      </w:tblPr>
      <w:tblGrid>
        <w:gridCol w:w="7848"/>
        <w:gridCol w:w="1363"/>
      </w:tblGrid>
      <w:tr w:rsidR="00B0288D" w:rsidRPr="00B72F2E" w:rsidTr="00CB7EEB">
        <w:trPr>
          <w:cnfStyle w:val="100000000000"/>
        </w:trPr>
        <w:tc>
          <w:tcPr>
            <w:cnfStyle w:val="001000000000"/>
            <w:tcW w:w="7848" w:type="dxa"/>
          </w:tcPr>
          <w:p w:rsidR="00B0288D" w:rsidRPr="00824387" w:rsidRDefault="00B72F2E" w:rsidP="00B72F2E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24387">
              <w:rPr>
                <w:rFonts w:asciiTheme="majorBidi" w:hAnsiTheme="majorBidi" w:cstheme="majorBidi"/>
                <w:sz w:val="24"/>
                <w:szCs w:val="24"/>
              </w:rPr>
              <w:t>Figure III.1 : Réglages des axes</w:t>
            </w:r>
          </w:p>
        </w:tc>
        <w:tc>
          <w:tcPr>
            <w:tcW w:w="1363" w:type="dxa"/>
          </w:tcPr>
          <w:p w:rsidR="00B0288D" w:rsidRPr="00CB7EEB" w:rsidRDefault="00CB7EEB" w:rsidP="00CB7EEB">
            <w:pPr>
              <w:spacing w:line="276" w:lineRule="auto"/>
              <w:jc w:val="center"/>
              <w:cnfStyle w:val="100000000000"/>
              <w:rPr>
                <w:rFonts w:asciiTheme="majorBidi" w:hAnsiTheme="majorBidi" w:cstheme="majorBidi"/>
                <w:sz w:val="24"/>
                <w:szCs w:val="24"/>
              </w:rPr>
            </w:pPr>
            <w:r w:rsidRPr="00CB7EEB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B0288D" w:rsidRPr="00B72F2E" w:rsidTr="00CB7EEB">
        <w:trPr>
          <w:cnfStyle w:val="000000100000"/>
        </w:trPr>
        <w:tc>
          <w:tcPr>
            <w:cnfStyle w:val="001000000000"/>
            <w:tcW w:w="7848" w:type="dxa"/>
          </w:tcPr>
          <w:p w:rsidR="00B0288D" w:rsidRPr="00824387" w:rsidRDefault="00B72F2E" w:rsidP="00B72F2E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24387">
              <w:rPr>
                <w:rFonts w:asciiTheme="majorBidi" w:hAnsiTheme="majorBidi" w:cstheme="majorBidi"/>
                <w:sz w:val="24"/>
                <w:szCs w:val="24"/>
              </w:rPr>
              <w:t>Figure III.2 : Réglages des grilles</w:t>
            </w:r>
          </w:p>
        </w:tc>
        <w:tc>
          <w:tcPr>
            <w:tcW w:w="1363" w:type="dxa"/>
          </w:tcPr>
          <w:p w:rsidR="00B0288D" w:rsidRPr="00CB7EEB" w:rsidRDefault="00CB7EEB" w:rsidP="00CB7EEB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</w:rPr>
            </w:pPr>
            <w:r w:rsidRPr="00CB7EEB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B0288D" w:rsidRPr="00B72F2E" w:rsidTr="00CB7EEB">
        <w:tc>
          <w:tcPr>
            <w:cnfStyle w:val="001000000000"/>
            <w:tcW w:w="7848" w:type="dxa"/>
          </w:tcPr>
          <w:p w:rsidR="00B0288D" w:rsidRPr="00824387" w:rsidRDefault="00B72F2E" w:rsidP="00B72F2E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24387">
              <w:rPr>
                <w:rFonts w:asciiTheme="majorBidi" w:hAnsiTheme="majorBidi" w:cstheme="majorBidi"/>
                <w:sz w:val="24"/>
                <w:szCs w:val="24"/>
              </w:rPr>
              <w:t xml:space="preserve">Figure III.3 : </w:t>
            </w:r>
            <w:r w:rsidRPr="008243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Outillage de dessin, Barre d’outils</w:t>
            </w:r>
          </w:p>
        </w:tc>
        <w:tc>
          <w:tcPr>
            <w:tcW w:w="1363" w:type="dxa"/>
          </w:tcPr>
          <w:p w:rsidR="00B0288D" w:rsidRPr="00CB7EEB" w:rsidRDefault="00CB7EEB" w:rsidP="00CB7EEB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</w:rPr>
            </w:pPr>
            <w:r w:rsidRPr="00CB7EEB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</w:tr>
      <w:tr w:rsidR="00B0288D" w:rsidRPr="00B72F2E" w:rsidTr="00CB7EEB">
        <w:trPr>
          <w:cnfStyle w:val="000000100000"/>
        </w:trPr>
        <w:tc>
          <w:tcPr>
            <w:cnfStyle w:val="001000000000"/>
            <w:tcW w:w="7848" w:type="dxa"/>
          </w:tcPr>
          <w:p w:rsidR="00B0288D" w:rsidRPr="00824387" w:rsidRDefault="00B72F2E" w:rsidP="00B72F2E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24387">
              <w:rPr>
                <w:rFonts w:asciiTheme="majorBidi" w:hAnsiTheme="majorBidi" w:cstheme="majorBidi"/>
                <w:sz w:val="24"/>
                <w:szCs w:val="24"/>
              </w:rPr>
              <w:t>Figure III.4 : Différents types de maillage</w:t>
            </w:r>
          </w:p>
        </w:tc>
        <w:tc>
          <w:tcPr>
            <w:tcW w:w="1363" w:type="dxa"/>
          </w:tcPr>
          <w:p w:rsidR="00B0288D" w:rsidRPr="00CB7EEB" w:rsidRDefault="00CB7EEB" w:rsidP="00CB7EEB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</w:rPr>
            </w:pPr>
            <w:r w:rsidRPr="00CB7EEB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</w:tr>
      <w:tr w:rsidR="00B72F2E" w:rsidRPr="00B72F2E" w:rsidTr="00CB7EEB">
        <w:tc>
          <w:tcPr>
            <w:cnfStyle w:val="001000000000"/>
            <w:tcW w:w="7848" w:type="dxa"/>
          </w:tcPr>
          <w:p w:rsidR="00B72F2E" w:rsidRPr="00824387" w:rsidRDefault="00B72F2E" w:rsidP="00B72F2E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24387">
              <w:rPr>
                <w:rFonts w:asciiTheme="majorBidi" w:hAnsiTheme="majorBidi" w:cstheme="majorBidi"/>
                <w:sz w:val="24"/>
                <w:szCs w:val="24"/>
              </w:rPr>
              <w:t>Figure III.5 : L</w:t>
            </w:r>
            <w:r w:rsidRPr="008243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es constantes</w:t>
            </w:r>
          </w:p>
        </w:tc>
        <w:tc>
          <w:tcPr>
            <w:tcW w:w="1363" w:type="dxa"/>
          </w:tcPr>
          <w:p w:rsidR="00B72F2E" w:rsidRPr="00CB7EEB" w:rsidRDefault="00CB7EEB" w:rsidP="00CB7EEB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</w:rPr>
            </w:pPr>
            <w:r w:rsidRPr="00CB7EEB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B72F2E" w:rsidRPr="00B72F2E" w:rsidTr="00CB7EEB">
        <w:trPr>
          <w:cnfStyle w:val="000000100000"/>
        </w:trPr>
        <w:tc>
          <w:tcPr>
            <w:cnfStyle w:val="001000000000"/>
            <w:tcW w:w="7848" w:type="dxa"/>
          </w:tcPr>
          <w:p w:rsidR="00B72F2E" w:rsidRPr="00824387" w:rsidRDefault="00B72F2E" w:rsidP="00B72F2E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24387">
              <w:rPr>
                <w:rFonts w:asciiTheme="majorBidi" w:hAnsiTheme="majorBidi" w:cstheme="majorBidi"/>
                <w:sz w:val="24"/>
                <w:szCs w:val="24"/>
              </w:rPr>
              <w:t xml:space="preserve">Figure III.6 : </w:t>
            </w:r>
            <w:r w:rsidRPr="008243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Expressions scalaires</w:t>
            </w:r>
          </w:p>
        </w:tc>
        <w:tc>
          <w:tcPr>
            <w:tcW w:w="1363" w:type="dxa"/>
          </w:tcPr>
          <w:p w:rsidR="00B72F2E" w:rsidRPr="00CB7EEB" w:rsidRDefault="00CB7EEB" w:rsidP="00CB7EEB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</w:rPr>
            </w:pPr>
            <w:r w:rsidRPr="00CB7EEB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B72F2E" w:rsidRPr="00B72F2E" w:rsidTr="00CB7EEB">
        <w:tc>
          <w:tcPr>
            <w:cnfStyle w:val="001000000000"/>
            <w:tcW w:w="7848" w:type="dxa"/>
          </w:tcPr>
          <w:p w:rsidR="00B72F2E" w:rsidRPr="00824387" w:rsidRDefault="00B72F2E" w:rsidP="00824387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24387">
              <w:rPr>
                <w:rFonts w:asciiTheme="majorBidi" w:hAnsiTheme="majorBidi" w:cstheme="majorBidi"/>
                <w:sz w:val="24"/>
                <w:szCs w:val="24"/>
              </w:rPr>
              <w:t xml:space="preserve">Figure III.7 : </w:t>
            </w:r>
            <w:r w:rsidRPr="008243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Paramètres des solveurs</w:t>
            </w:r>
          </w:p>
        </w:tc>
        <w:tc>
          <w:tcPr>
            <w:tcW w:w="1363" w:type="dxa"/>
          </w:tcPr>
          <w:p w:rsidR="00B72F2E" w:rsidRPr="00CB7EEB" w:rsidRDefault="00CB7EEB" w:rsidP="00CB7EEB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</w:rPr>
            </w:pPr>
            <w:r w:rsidRPr="00CB7EEB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</w:tr>
    </w:tbl>
    <w:p w:rsidR="00B0288D" w:rsidRPr="00B72F2E" w:rsidRDefault="00B0288D" w:rsidP="00B72F2E">
      <w:pPr>
        <w:spacing w:line="276" w:lineRule="auto"/>
        <w:rPr>
          <w:rFonts w:asciiTheme="majorBidi" w:hAnsiTheme="majorBidi" w:cstheme="majorBidi"/>
          <w:b/>
          <w:bCs/>
        </w:rPr>
      </w:pPr>
    </w:p>
    <w:p w:rsidR="001F1819" w:rsidRPr="00B72F2E" w:rsidRDefault="00824387" w:rsidP="00824387">
      <w:pPr>
        <w:spacing w:line="480" w:lineRule="auto"/>
        <w:jc w:val="both"/>
        <w:rPr>
          <w:bCs/>
        </w:rPr>
      </w:pPr>
      <w:r>
        <w:rPr>
          <w:b/>
          <w:bCs/>
        </w:rPr>
        <w:t>Chapitre IV</w:t>
      </w:r>
      <w:r w:rsidR="0038195F">
        <w:rPr>
          <w:b/>
          <w:bCs/>
        </w:rPr>
        <w:t xml:space="preserve"> : Application numérique </w:t>
      </w:r>
      <w:r w:rsidR="001F1819" w:rsidRPr="00B72F2E">
        <w:rPr>
          <w:b/>
        </w:rPr>
        <w:t xml:space="preserve"> </w:t>
      </w:r>
    </w:p>
    <w:tbl>
      <w:tblPr>
        <w:tblStyle w:val="Ombrageclair"/>
        <w:tblW w:w="0" w:type="auto"/>
        <w:tblLook w:val="04A0"/>
      </w:tblPr>
      <w:tblGrid>
        <w:gridCol w:w="7848"/>
        <w:gridCol w:w="1363"/>
      </w:tblGrid>
      <w:tr w:rsidR="00824387" w:rsidRPr="001B78ED" w:rsidTr="00CB7EEB">
        <w:trPr>
          <w:cnfStyle w:val="100000000000"/>
        </w:trPr>
        <w:tc>
          <w:tcPr>
            <w:cnfStyle w:val="001000000000"/>
            <w:tcW w:w="7848" w:type="dxa"/>
          </w:tcPr>
          <w:p w:rsidR="00824387" w:rsidRPr="001B78ED" w:rsidRDefault="00034005" w:rsidP="00400DBD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Figure IV.1</w:t>
            </w:r>
            <w:r w:rsidR="00234A73"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: Détermination les Conditions aux limites</w:t>
            </w:r>
          </w:p>
        </w:tc>
        <w:tc>
          <w:tcPr>
            <w:tcW w:w="1363" w:type="dxa"/>
          </w:tcPr>
          <w:p w:rsidR="00824387" w:rsidRPr="001B78ED" w:rsidRDefault="00CB7EEB" w:rsidP="00CB7EEB">
            <w:pPr>
              <w:spacing w:line="276" w:lineRule="auto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37</w:t>
            </w:r>
          </w:p>
        </w:tc>
      </w:tr>
      <w:tr w:rsidR="00824387" w:rsidRPr="001B78ED" w:rsidTr="00CB7EEB">
        <w:trPr>
          <w:cnfStyle w:val="000000100000"/>
        </w:trPr>
        <w:tc>
          <w:tcPr>
            <w:cnfStyle w:val="001000000000"/>
            <w:tcW w:w="7848" w:type="dxa"/>
          </w:tcPr>
          <w:p w:rsidR="00824387" w:rsidRPr="001B78ED" w:rsidRDefault="00276EA7" w:rsidP="00234A73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Figure1V.2 : Représentation à 3D de la hauteur dans le barrage  (t=0s).</w:t>
            </w:r>
          </w:p>
        </w:tc>
        <w:tc>
          <w:tcPr>
            <w:tcW w:w="1363" w:type="dxa"/>
          </w:tcPr>
          <w:p w:rsidR="00824387" w:rsidRPr="001B78ED" w:rsidRDefault="00CB7EEB" w:rsidP="00CB7EEB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</w:tr>
      <w:tr w:rsidR="00276EA7" w:rsidRPr="001B78ED" w:rsidTr="00CB7EEB">
        <w:tc>
          <w:tcPr>
            <w:cnfStyle w:val="001000000000"/>
            <w:tcW w:w="7848" w:type="dxa"/>
          </w:tcPr>
          <w:p w:rsidR="00276EA7" w:rsidRPr="001B78ED" w:rsidRDefault="00276EA7" w:rsidP="00234A73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Figure IV.3 : Représentation à 3D de la hauteur     (t=3s)</w:t>
            </w:r>
          </w:p>
        </w:tc>
        <w:tc>
          <w:tcPr>
            <w:tcW w:w="1363" w:type="dxa"/>
          </w:tcPr>
          <w:p w:rsidR="00276EA7" w:rsidRPr="001B78ED" w:rsidRDefault="001B78ED" w:rsidP="00CB7EEB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</w:tr>
      <w:tr w:rsidR="00276EA7" w:rsidRPr="001B78ED" w:rsidTr="00CB7EEB">
        <w:trPr>
          <w:cnfStyle w:val="000000100000"/>
        </w:trPr>
        <w:tc>
          <w:tcPr>
            <w:cnfStyle w:val="001000000000"/>
            <w:tcW w:w="7848" w:type="dxa"/>
          </w:tcPr>
          <w:p w:rsidR="00276EA7" w:rsidRPr="001B78ED" w:rsidRDefault="00276EA7" w:rsidP="00234A73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Figure IV.4: Représentation  à 2D des </w:t>
            </w:r>
            <w:proofErr w:type="spellStart"/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isohauteurs</w:t>
            </w:r>
            <w:proofErr w:type="spellEnd"/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(t=3s)</w:t>
            </w:r>
          </w:p>
        </w:tc>
        <w:tc>
          <w:tcPr>
            <w:tcW w:w="1363" w:type="dxa"/>
          </w:tcPr>
          <w:p w:rsidR="00276EA7" w:rsidRPr="001B78ED" w:rsidRDefault="001B78ED" w:rsidP="00CB7EEB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</w:tr>
      <w:tr w:rsidR="00276EA7" w:rsidRPr="001B78ED" w:rsidTr="00CB7EEB">
        <w:tc>
          <w:tcPr>
            <w:cnfStyle w:val="001000000000"/>
            <w:tcW w:w="7848" w:type="dxa"/>
          </w:tcPr>
          <w:p w:rsidR="00276EA7" w:rsidRPr="001B78ED" w:rsidRDefault="00276EA7" w:rsidP="00234A73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Figure 1V.5 : Représentation  à  3D de la hauteur  (t=6s)</w:t>
            </w:r>
          </w:p>
        </w:tc>
        <w:tc>
          <w:tcPr>
            <w:tcW w:w="1363" w:type="dxa"/>
          </w:tcPr>
          <w:p w:rsidR="00276EA7" w:rsidRPr="001B78ED" w:rsidRDefault="001B78ED" w:rsidP="00CB7EEB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</w:tr>
      <w:tr w:rsidR="00276EA7" w:rsidRPr="001B78ED" w:rsidTr="00CB7EEB">
        <w:trPr>
          <w:cnfStyle w:val="000000100000"/>
        </w:trPr>
        <w:tc>
          <w:tcPr>
            <w:cnfStyle w:val="001000000000"/>
            <w:tcW w:w="7848" w:type="dxa"/>
          </w:tcPr>
          <w:p w:rsidR="00276EA7" w:rsidRPr="001B78ED" w:rsidRDefault="00276EA7" w:rsidP="00276EA7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Figure 1V.6 : R</w:t>
            </w:r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eprésentation  à 2D des </w:t>
            </w:r>
            <w:proofErr w:type="spellStart"/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isohauteurs</w:t>
            </w:r>
            <w:proofErr w:type="spellEnd"/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(t=6s)</w:t>
            </w:r>
          </w:p>
        </w:tc>
        <w:tc>
          <w:tcPr>
            <w:tcW w:w="1363" w:type="dxa"/>
          </w:tcPr>
          <w:p w:rsidR="00276EA7" w:rsidRPr="001B78ED" w:rsidRDefault="001B78ED" w:rsidP="00CB7EEB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</w:tr>
      <w:tr w:rsidR="00276EA7" w:rsidRPr="001B78ED" w:rsidTr="00CB7EEB">
        <w:tc>
          <w:tcPr>
            <w:cnfStyle w:val="001000000000"/>
            <w:tcW w:w="7848" w:type="dxa"/>
          </w:tcPr>
          <w:p w:rsidR="00276EA7" w:rsidRPr="001B78ED" w:rsidRDefault="00276EA7" w:rsidP="00234A73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Figure IV.7 : Profil à 3D de la hauteur donné par  </w:t>
            </w:r>
            <w:proofErr w:type="spellStart"/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Valiani</w:t>
            </w:r>
            <w:proofErr w:type="spellEnd"/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et al (t=6s)</w:t>
            </w:r>
          </w:p>
        </w:tc>
        <w:tc>
          <w:tcPr>
            <w:tcW w:w="1363" w:type="dxa"/>
          </w:tcPr>
          <w:p w:rsidR="00276EA7" w:rsidRPr="001B78ED" w:rsidRDefault="001B78ED" w:rsidP="00CB7EEB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276EA7" w:rsidRPr="001B78ED" w:rsidTr="00CB7EEB">
        <w:trPr>
          <w:cnfStyle w:val="000000100000"/>
        </w:trPr>
        <w:tc>
          <w:tcPr>
            <w:cnfStyle w:val="001000000000"/>
            <w:tcW w:w="7848" w:type="dxa"/>
          </w:tcPr>
          <w:p w:rsidR="00276EA7" w:rsidRPr="001B78ED" w:rsidRDefault="00276EA7" w:rsidP="00276EA7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Figure IV.8 : C</w:t>
            </w:r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ontour  donné  par </w:t>
            </w:r>
            <w:proofErr w:type="spellStart"/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Valiani</w:t>
            </w:r>
            <w:proofErr w:type="spellEnd"/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et al  (t=6s)</w:t>
            </w:r>
          </w:p>
        </w:tc>
        <w:tc>
          <w:tcPr>
            <w:tcW w:w="1363" w:type="dxa"/>
          </w:tcPr>
          <w:p w:rsidR="00276EA7" w:rsidRPr="001B78ED" w:rsidRDefault="001B78ED" w:rsidP="00CB7EEB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276EA7" w:rsidRPr="001B78ED" w:rsidTr="00CB7EEB">
        <w:tc>
          <w:tcPr>
            <w:cnfStyle w:val="001000000000"/>
            <w:tcW w:w="7848" w:type="dxa"/>
          </w:tcPr>
          <w:p w:rsidR="00276EA7" w:rsidRPr="001B78ED" w:rsidRDefault="00276EA7" w:rsidP="00276EA7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Figure IV.9 : Profil à 3D de la hauteur donné par  FENNEMA ET  Chaudhry   (t=6s)</w:t>
            </w:r>
          </w:p>
        </w:tc>
        <w:tc>
          <w:tcPr>
            <w:tcW w:w="1363" w:type="dxa"/>
          </w:tcPr>
          <w:p w:rsidR="00276EA7" w:rsidRPr="001B78ED" w:rsidRDefault="001B78ED" w:rsidP="00CB7EEB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276EA7" w:rsidRPr="001B78ED" w:rsidTr="00CB7EEB">
        <w:trPr>
          <w:cnfStyle w:val="000000100000"/>
        </w:trPr>
        <w:tc>
          <w:tcPr>
            <w:cnfStyle w:val="001000000000"/>
            <w:tcW w:w="7848" w:type="dxa"/>
          </w:tcPr>
          <w:p w:rsidR="00276EA7" w:rsidRPr="001B78ED" w:rsidRDefault="00276EA7" w:rsidP="00234A73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Figure IV.10: Contour  donné  par FENNEMA ET </w:t>
            </w:r>
            <w:proofErr w:type="spellStart"/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CHAUDBRY</w:t>
            </w:r>
            <w:proofErr w:type="spellEnd"/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(t=6s)</w:t>
            </w:r>
          </w:p>
        </w:tc>
        <w:tc>
          <w:tcPr>
            <w:tcW w:w="1363" w:type="dxa"/>
          </w:tcPr>
          <w:p w:rsidR="00276EA7" w:rsidRPr="001B78ED" w:rsidRDefault="001B78ED" w:rsidP="00CB7EEB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276EA7" w:rsidRPr="001B78ED" w:rsidTr="00CB7EEB">
        <w:tc>
          <w:tcPr>
            <w:cnfStyle w:val="001000000000"/>
            <w:tcW w:w="7848" w:type="dxa"/>
          </w:tcPr>
          <w:p w:rsidR="00276EA7" w:rsidRPr="001B78ED" w:rsidRDefault="00276EA7" w:rsidP="00234A73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Figure IV.11 : Rupture totale à 3D (t=0s)</w:t>
            </w:r>
          </w:p>
        </w:tc>
        <w:tc>
          <w:tcPr>
            <w:tcW w:w="1363" w:type="dxa"/>
          </w:tcPr>
          <w:p w:rsidR="00276EA7" w:rsidRPr="001B78ED" w:rsidRDefault="001B78ED" w:rsidP="00CB7EEB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276EA7" w:rsidRPr="001B78ED" w:rsidTr="00CB7EEB">
        <w:trPr>
          <w:cnfStyle w:val="000000100000"/>
        </w:trPr>
        <w:tc>
          <w:tcPr>
            <w:cnfStyle w:val="001000000000"/>
            <w:tcW w:w="7848" w:type="dxa"/>
          </w:tcPr>
          <w:p w:rsidR="00276EA7" w:rsidRPr="001B78ED" w:rsidRDefault="00276EA7" w:rsidP="00234A73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Figure IV.12 : Rupture totale à  3D (t=0.9s)</w:t>
            </w:r>
          </w:p>
        </w:tc>
        <w:tc>
          <w:tcPr>
            <w:tcW w:w="1363" w:type="dxa"/>
          </w:tcPr>
          <w:p w:rsidR="00276EA7" w:rsidRPr="001B78ED" w:rsidRDefault="001B78ED" w:rsidP="00CB7EEB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276EA7" w:rsidRPr="001B78ED" w:rsidTr="00CB7EEB">
        <w:tc>
          <w:tcPr>
            <w:cnfStyle w:val="001000000000"/>
            <w:tcW w:w="7848" w:type="dxa"/>
          </w:tcPr>
          <w:p w:rsidR="00276EA7" w:rsidRPr="001B78ED" w:rsidRDefault="00276EA7" w:rsidP="00234A73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Figure IV.13 : Rupture totale à 3D (t=1.8s)</w:t>
            </w:r>
          </w:p>
        </w:tc>
        <w:tc>
          <w:tcPr>
            <w:tcW w:w="1363" w:type="dxa"/>
          </w:tcPr>
          <w:p w:rsidR="00276EA7" w:rsidRPr="001B78ED" w:rsidRDefault="001B78ED" w:rsidP="00CB7EEB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276EA7" w:rsidRPr="001B78ED" w:rsidTr="00CB7EEB">
        <w:trPr>
          <w:cnfStyle w:val="000000100000"/>
        </w:trPr>
        <w:tc>
          <w:tcPr>
            <w:cnfStyle w:val="001000000000"/>
            <w:tcW w:w="7848" w:type="dxa"/>
          </w:tcPr>
          <w:p w:rsidR="00276EA7" w:rsidRPr="001B78ED" w:rsidRDefault="00276EA7" w:rsidP="00234A73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 xml:space="preserve">Figure IV.14 : Rupture totale à 3D </w:t>
            </w:r>
            <w:proofErr w:type="gramStart"/>
            <w:r w:rsidRPr="001B78ED">
              <w:rPr>
                <w:rFonts w:asciiTheme="majorBidi" w:hAnsiTheme="majorBidi" w:cstheme="majorBidi"/>
                <w:sz w:val="24"/>
                <w:szCs w:val="24"/>
              </w:rPr>
              <w:t>( t</w:t>
            </w:r>
            <w:proofErr w:type="gramEnd"/>
            <w:r w:rsidRPr="001B78ED">
              <w:rPr>
                <w:rFonts w:asciiTheme="majorBidi" w:hAnsiTheme="majorBidi" w:cstheme="majorBidi"/>
                <w:sz w:val="24"/>
                <w:szCs w:val="24"/>
              </w:rPr>
              <w:t>=2.7s)</w:t>
            </w:r>
          </w:p>
        </w:tc>
        <w:tc>
          <w:tcPr>
            <w:tcW w:w="1363" w:type="dxa"/>
          </w:tcPr>
          <w:p w:rsidR="00276EA7" w:rsidRPr="001B78ED" w:rsidRDefault="001B78ED" w:rsidP="00CB7EEB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276EA7" w:rsidRPr="001B78ED" w:rsidTr="00CB7EEB">
        <w:tc>
          <w:tcPr>
            <w:cnfStyle w:val="001000000000"/>
            <w:tcW w:w="7848" w:type="dxa"/>
          </w:tcPr>
          <w:p w:rsidR="00276EA7" w:rsidRPr="001B78ED" w:rsidRDefault="00276EA7" w:rsidP="00234A73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Figure IV.15 : Rupture totale à 3D  (t= 5.4)</w:t>
            </w:r>
          </w:p>
        </w:tc>
        <w:tc>
          <w:tcPr>
            <w:tcW w:w="1363" w:type="dxa"/>
          </w:tcPr>
          <w:p w:rsidR="00276EA7" w:rsidRPr="001B78ED" w:rsidRDefault="001B78ED" w:rsidP="00CB7EEB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276EA7" w:rsidRPr="001B78ED" w:rsidTr="00CB7EEB">
        <w:trPr>
          <w:cnfStyle w:val="000000100000"/>
        </w:trPr>
        <w:tc>
          <w:tcPr>
            <w:cnfStyle w:val="001000000000"/>
            <w:tcW w:w="7848" w:type="dxa"/>
          </w:tcPr>
          <w:p w:rsidR="00276EA7" w:rsidRPr="001B78ED" w:rsidRDefault="00276EA7" w:rsidP="00234A73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 xml:space="preserve">Figure IV.16 : Rupture totale à 2D </w:t>
            </w:r>
            <w:proofErr w:type="gramStart"/>
            <w:r w:rsidRPr="001B78ED">
              <w:rPr>
                <w:rFonts w:asciiTheme="majorBidi" w:hAnsiTheme="majorBidi" w:cstheme="majorBidi"/>
                <w:sz w:val="24"/>
                <w:szCs w:val="24"/>
              </w:rPr>
              <w:t>( t</w:t>
            </w:r>
            <w:proofErr w:type="gramEnd"/>
            <w:r w:rsidRPr="001B78ED">
              <w:rPr>
                <w:rFonts w:asciiTheme="majorBidi" w:hAnsiTheme="majorBidi" w:cstheme="majorBidi"/>
                <w:sz w:val="24"/>
                <w:szCs w:val="24"/>
              </w:rPr>
              <w:t>=5.4s)</w:t>
            </w:r>
          </w:p>
        </w:tc>
        <w:tc>
          <w:tcPr>
            <w:tcW w:w="1363" w:type="dxa"/>
          </w:tcPr>
          <w:p w:rsidR="00276EA7" w:rsidRPr="001B78ED" w:rsidRDefault="001B78ED" w:rsidP="00CB7EEB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276EA7" w:rsidRPr="001B78ED" w:rsidTr="00CB7EEB">
        <w:tc>
          <w:tcPr>
            <w:cnfStyle w:val="001000000000"/>
            <w:tcW w:w="7848" w:type="dxa"/>
          </w:tcPr>
          <w:p w:rsidR="00276EA7" w:rsidRPr="001B78ED" w:rsidRDefault="00276EA7" w:rsidP="00234A73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Figure IV.17 : représentation à 3D de la hauteur dans le barrage  (t=0s)</w:t>
            </w:r>
          </w:p>
        </w:tc>
        <w:tc>
          <w:tcPr>
            <w:tcW w:w="1363" w:type="dxa"/>
          </w:tcPr>
          <w:p w:rsidR="00276EA7" w:rsidRPr="001B78ED" w:rsidRDefault="001B78ED" w:rsidP="00CB7EEB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276EA7" w:rsidRPr="001B78ED" w:rsidTr="00CB7EEB">
        <w:trPr>
          <w:cnfStyle w:val="000000100000"/>
        </w:trPr>
        <w:tc>
          <w:tcPr>
            <w:cnfStyle w:val="001000000000"/>
            <w:tcW w:w="7848" w:type="dxa"/>
          </w:tcPr>
          <w:p w:rsidR="00276EA7" w:rsidRPr="001B78ED" w:rsidRDefault="00276EA7" w:rsidP="00234A73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Figure IV.18.: Model  de Rupture d’une partie d’un barrage  avec E=1m et t=3 s</w:t>
            </w:r>
          </w:p>
        </w:tc>
        <w:tc>
          <w:tcPr>
            <w:tcW w:w="1363" w:type="dxa"/>
          </w:tcPr>
          <w:p w:rsidR="00276EA7" w:rsidRPr="001B78ED" w:rsidRDefault="001B78ED" w:rsidP="00CB7EEB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276EA7" w:rsidRPr="001B78ED" w:rsidTr="00CB7EEB">
        <w:tc>
          <w:tcPr>
            <w:cnfStyle w:val="001000000000"/>
            <w:tcW w:w="7848" w:type="dxa"/>
          </w:tcPr>
          <w:p w:rsidR="00276EA7" w:rsidRPr="001B78ED" w:rsidRDefault="00276EA7" w:rsidP="00234A73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Figure IV.19 : Model  de Rupture d’une partie d’un barrage  avec E=1m et t=6 s</w:t>
            </w:r>
          </w:p>
        </w:tc>
        <w:tc>
          <w:tcPr>
            <w:tcW w:w="1363" w:type="dxa"/>
          </w:tcPr>
          <w:p w:rsidR="00276EA7" w:rsidRPr="001B78ED" w:rsidRDefault="001B78ED" w:rsidP="00CB7EEB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276EA7" w:rsidRPr="001B78ED" w:rsidTr="00CB7EEB">
        <w:trPr>
          <w:cnfStyle w:val="000000100000"/>
        </w:trPr>
        <w:tc>
          <w:tcPr>
            <w:cnfStyle w:val="001000000000"/>
            <w:tcW w:w="7848" w:type="dxa"/>
          </w:tcPr>
          <w:p w:rsidR="00276EA7" w:rsidRPr="001B78ED" w:rsidRDefault="00276EA7" w:rsidP="00234A73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Figure IV.20 : Model  de Rupture d’une partie barrage  avec E=1m et t=3 s</w:t>
            </w:r>
          </w:p>
        </w:tc>
        <w:tc>
          <w:tcPr>
            <w:tcW w:w="1363" w:type="dxa"/>
          </w:tcPr>
          <w:p w:rsidR="00276EA7" w:rsidRPr="001B78ED" w:rsidRDefault="001B78ED" w:rsidP="00CB7EEB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276EA7" w:rsidRPr="001B78ED" w:rsidTr="00CB7EEB">
        <w:tc>
          <w:tcPr>
            <w:cnfStyle w:val="001000000000"/>
            <w:tcW w:w="7848" w:type="dxa"/>
          </w:tcPr>
          <w:p w:rsidR="00276EA7" w:rsidRPr="001B78ED" w:rsidRDefault="00276EA7" w:rsidP="00234A73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Figure IV.21 : Model de Rupture d’une partie avec  E = 1m et t = 6s</w:t>
            </w:r>
          </w:p>
        </w:tc>
        <w:tc>
          <w:tcPr>
            <w:tcW w:w="1363" w:type="dxa"/>
          </w:tcPr>
          <w:p w:rsidR="00276EA7" w:rsidRPr="001B78ED" w:rsidRDefault="001B78ED" w:rsidP="00CB7EEB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</w:rPr>
            </w:pPr>
            <w:r w:rsidRPr="001B78ED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</w:tbl>
    <w:p w:rsidR="00D61A51" w:rsidRPr="00B72F2E" w:rsidRDefault="00D61A51"/>
    <w:sectPr w:rsidR="00D61A51" w:rsidRPr="00B72F2E" w:rsidSect="007E62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F52" w:rsidRDefault="00B63F52" w:rsidP="00240BC9">
      <w:r>
        <w:separator/>
      </w:r>
    </w:p>
  </w:endnote>
  <w:endnote w:type="continuationSeparator" w:id="0">
    <w:p w:rsidR="00B63F52" w:rsidRDefault="00B63F52" w:rsidP="00240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LMRoman10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400" w:rsidRDefault="001B78ED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400" w:rsidRDefault="001B78ED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400" w:rsidRDefault="001B78ED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F52" w:rsidRDefault="00B63F52" w:rsidP="00240BC9">
      <w:r>
        <w:separator/>
      </w:r>
    </w:p>
  </w:footnote>
  <w:footnote w:type="continuationSeparator" w:id="0">
    <w:p w:rsidR="00B63F52" w:rsidRDefault="00B63F52" w:rsidP="00240B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400" w:rsidRDefault="001B78ED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CBE" w:rsidRDefault="0021695C">
    <w:pPr>
      <w:pStyle w:val="En-tte"/>
    </w:pPr>
    <w:r>
      <w:rPr>
        <w:noProof/>
      </w:rPr>
      <w:pict>
        <v:group id="_x0000_s2049" style="position:absolute;margin-left:0;margin-top:-1.6pt;width:452pt;height:55.05pt;z-index:251660288" coordorigin="1701,677" coordsize="9040,1101">
          <v:rect id="_x0000_s2050" style="position:absolute;left:3361;top:698;width:5760;height:1080" fillcolor="#9c0" strokeweight="1.5pt">
            <v:fill opacity="36045f" rotate="t" focusposition=".5,.5" focussize="" type="gradientRadial"/>
            <v:shadow on="t" opacity=".5" offset="6pt,-6pt"/>
            <v:textbox style="mso-next-textbox:#_x0000_s2050">
              <w:txbxContent>
                <w:p w:rsidR="00812CBE" w:rsidRPr="00F760A9" w:rsidRDefault="00FD373F" w:rsidP="00812CBE">
                  <w:pPr>
                    <w:spacing w:line="360" w:lineRule="auto"/>
                    <w:jc w:val="center"/>
                    <w:rPr>
                      <w:rFonts w:ascii="Monotype Corsiva" w:hAnsi="Monotype Corsiva"/>
                      <w:b/>
                      <w:bCs/>
                      <w:color w:val="FF0000"/>
                      <w:sz w:val="52"/>
                      <w:szCs w:val="52"/>
                    </w:rPr>
                  </w:pPr>
                  <w:r w:rsidRPr="00F760A9">
                    <w:rPr>
                      <w:rFonts w:ascii="Monotype Corsiva" w:hAnsi="Monotype Corsiva"/>
                      <w:b/>
                      <w:bCs/>
                      <w:color w:val="FF0000"/>
                      <w:sz w:val="52"/>
                      <w:szCs w:val="52"/>
                    </w:rPr>
                    <w:t>Liste des figures</w:t>
                  </w:r>
                </w:p>
              </w:txbxContent>
            </v:textbox>
          </v:re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2051" type="#_x0000_t135" style="position:absolute;left:9261;top:677;width:1480;height:1080" fillcolor="#9c0" strokeweight="1.5pt">
            <v:fill opacity="37356f"/>
            <v:shadow on="t" opacity=".5" offset="6pt,-6pt"/>
            <v:textbox style="mso-next-textbox:#_x0000_s2051">
              <w:txbxContent>
                <w:p w:rsidR="00812CBE" w:rsidRPr="00F760A9" w:rsidRDefault="00FD373F" w:rsidP="00812CBE">
                  <w:pPr>
                    <w:spacing w:line="360" w:lineRule="auto"/>
                    <w:jc w:val="center"/>
                    <w:rPr>
                      <w:b/>
                      <w:bCs/>
                      <w:i/>
                      <w:iCs/>
                      <w:color w:val="FFFFFF"/>
                      <w:sz w:val="32"/>
                      <w:szCs w:val="32"/>
                    </w:rPr>
                  </w:pPr>
                  <w:proofErr w:type="gramStart"/>
                  <w:r w:rsidRPr="00F760A9">
                    <w:rPr>
                      <w:rFonts w:ascii="Monotype Corsiva" w:hAnsi="Monotype Corsiva"/>
                      <w:b/>
                      <w:bCs/>
                      <w:color w:val="FFFFFF"/>
                      <w:sz w:val="32"/>
                      <w:szCs w:val="32"/>
                    </w:rPr>
                    <w:t>page</w:t>
                  </w:r>
                  <w:proofErr w:type="gramEnd"/>
                </w:p>
                <w:p w:rsidR="00812CBE" w:rsidRDefault="001B78ED" w:rsidP="00812CBE"/>
              </w:txbxContent>
            </v:textbox>
          </v:shape>
          <v:shape id="_x0000_s2052" type="#_x0000_t135" style="position:absolute;left:1741;top:698;width:1480;height:1080;rotation:180" fillcolor="#9c0" strokeweight="1.5pt">
            <v:fill opacity="37356f"/>
            <v:shadow on="t" opacity=".5" offset="6pt,-6pt"/>
            <v:textbox style="mso-next-textbox:#_x0000_s2052">
              <w:txbxContent>
                <w:p w:rsidR="00A024CE" w:rsidRPr="00F760A9" w:rsidRDefault="00FD373F" w:rsidP="00A024CE">
                  <w:pPr>
                    <w:spacing w:line="360" w:lineRule="auto"/>
                    <w:jc w:val="both"/>
                    <w:rPr>
                      <w:rFonts w:ascii="Monotype Corsiva" w:hAnsi="Monotype Corsiva"/>
                      <w:b/>
                      <w:bCs/>
                      <w:color w:val="FFFFFF"/>
                      <w:sz w:val="36"/>
                      <w:szCs w:val="36"/>
                    </w:rPr>
                  </w:pPr>
                  <w:r w:rsidRPr="00F760A9">
                    <w:rPr>
                      <w:rFonts w:ascii="Monotype Corsiva" w:hAnsi="Monotype Corsiva"/>
                      <w:b/>
                      <w:bCs/>
                      <w:color w:val="FFFFFF"/>
                      <w:sz w:val="32"/>
                      <w:szCs w:val="32"/>
                    </w:rPr>
                    <w:t>Chapitr</w:t>
                  </w:r>
                  <w:r w:rsidRPr="00F760A9">
                    <w:rPr>
                      <w:rFonts w:ascii="Monotype Corsiva" w:hAnsi="Monotype Corsiva"/>
                      <w:b/>
                      <w:bCs/>
                      <w:color w:val="FFFFFF"/>
                      <w:sz w:val="36"/>
                      <w:szCs w:val="36"/>
                    </w:rPr>
                    <w:t>e</w:t>
                  </w:r>
                </w:p>
                <w:p w:rsidR="00894476" w:rsidRPr="00A024CE" w:rsidRDefault="001B78ED" w:rsidP="00A024CE">
                  <w:pPr>
                    <w:spacing w:line="360" w:lineRule="auto"/>
                    <w:jc w:val="both"/>
                    <w:rPr>
                      <w:b/>
                      <w:bCs/>
                      <w:i/>
                      <w:iCs/>
                      <w:sz w:val="36"/>
                      <w:szCs w:val="36"/>
                    </w:rPr>
                  </w:pPr>
                </w:p>
                <w:p w:rsidR="00A024CE" w:rsidRDefault="001B78ED" w:rsidP="00A024CE"/>
              </w:txbxContent>
            </v:textbox>
          </v:shape>
          <v:line id="_x0000_s2053" style="position:absolute;flip:x" from="9261,1598" to="10701,1598" strokecolor="white" strokeweight="4.5pt"/>
          <v:line id="_x0000_s2054" style="position:absolute;flip:x" from="3351,1598" to="9111,1598" strokecolor="white" strokeweight="4.5pt"/>
          <v:line id="_x0000_s2055" style="position:absolute;flip:x" from="1701,1598" to="3216,1598" strokecolor="white" strokeweight="4.5pt"/>
        </v:group>
      </w:pict>
    </w:r>
  </w:p>
  <w:p w:rsidR="00812CBE" w:rsidRDefault="001B78ED">
    <w:pPr>
      <w:pStyle w:val="En-tte"/>
    </w:pPr>
  </w:p>
  <w:p w:rsidR="00812CBE" w:rsidRDefault="001B78ED">
    <w:pPr>
      <w:pStyle w:val="En-tte"/>
    </w:pPr>
  </w:p>
  <w:p w:rsidR="00812CBE" w:rsidRDefault="001B78ED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400" w:rsidRDefault="001B78ED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F0997"/>
    <w:multiLevelType w:val="hybridMultilevel"/>
    <w:tmpl w:val="337461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F7690"/>
    <w:multiLevelType w:val="hybridMultilevel"/>
    <w:tmpl w:val="C5A03C8E"/>
    <w:lvl w:ilvl="0" w:tplc="9E3285A4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b w:val="0"/>
        <w:bCs w:val="0"/>
      </w:rPr>
    </w:lvl>
    <w:lvl w:ilvl="1" w:tplc="040C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BDE794F"/>
    <w:multiLevelType w:val="hybridMultilevel"/>
    <w:tmpl w:val="3BD49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161CEE"/>
    <w:multiLevelType w:val="hybridMultilevel"/>
    <w:tmpl w:val="31E0EFF0"/>
    <w:lvl w:ilvl="0" w:tplc="392EEFF4">
      <w:start w:val="1"/>
      <w:numFmt w:val="bullet"/>
      <w:lvlText w:val="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6DC035F"/>
    <w:multiLevelType w:val="hybridMultilevel"/>
    <w:tmpl w:val="6AA49F3E"/>
    <w:lvl w:ilvl="0" w:tplc="955EC5B4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b w:val="0"/>
        <w:bCs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>
    <w:nsid w:val="61277250"/>
    <w:multiLevelType w:val="hybridMultilevel"/>
    <w:tmpl w:val="E9445DD6"/>
    <w:lvl w:ilvl="0" w:tplc="2EA4A8E0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  <w:b w:val="0"/>
        <w:bCs w:val="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>
    <w:nsid w:val="78DA0548"/>
    <w:multiLevelType w:val="hybridMultilevel"/>
    <w:tmpl w:val="B440AE14"/>
    <w:lvl w:ilvl="0" w:tplc="392EEFF4">
      <w:start w:val="1"/>
      <w:numFmt w:val="bullet"/>
      <w:lvlText w:val="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F1819"/>
    <w:rsid w:val="00034005"/>
    <w:rsid w:val="000D436F"/>
    <w:rsid w:val="001A690A"/>
    <w:rsid w:val="001B78ED"/>
    <w:rsid w:val="001F1819"/>
    <w:rsid w:val="0021695C"/>
    <w:rsid w:val="002307FF"/>
    <w:rsid w:val="00234A73"/>
    <w:rsid w:val="00240BC9"/>
    <w:rsid w:val="00276EA7"/>
    <w:rsid w:val="002D7378"/>
    <w:rsid w:val="0038195F"/>
    <w:rsid w:val="0047509E"/>
    <w:rsid w:val="004B68A5"/>
    <w:rsid w:val="00663522"/>
    <w:rsid w:val="00716A32"/>
    <w:rsid w:val="00732A93"/>
    <w:rsid w:val="00824387"/>
    <w:rsid w:val="00876153"/>
    <w:rsid w:val="00A2273E"/>
    <w:rsid w:val="00AD32C5"/>
    <w:rsid w:val="00B0288D"/>
    <w:rsid w:val="00B05381"/>
    <w:rsid w:val="00B46718"/>
    <w:rsid w:val="00B63F52"/>
    <w:rsid w:val="00B72F2E"/>
    <w:rsid w:val="00B76FCF"/>
    <w:rsid w:val="00CB7EEB"/>
    <w:rsid w:val="00D61A51"/>
    <w:rsid w:val="00F80E50"/>
    <w:rsid w:val="00F92639"/>
    <w:rsid w:val="00FD3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 w:bidi="ar-SA"/>
    </w:rPr>
  </w:style>
  <w:style w:type="paragraph" w:styleId="Titre1">
    <w:name w:val="heading 1"/>
    <w:basedOn w:val="Normal"/>
    <w:next w:val="Normal"/>
    <w:link w:val="Titre1Car"/>
    <w:uiPriority w:val="9"/>
    <w:qFormat/>
    <w:rsid w:val="00AD32C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D32C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D32C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D32C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D32C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D32C5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D32C5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D32C5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D32C5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D32C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re2Car">
    <w:name w:val="Titre 2 Car"/>
    <w:basedOn w:val="Policepardfaut"/>
    <w:link w:val="Titre2"/>
    <w:uiPriority w:val="9"/>
    <w:semiHidden/>
    <w:rsid w:val="00AD32C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3Car">
    <w:name w:val="Titre 3 Car"/>
    <w:basedOn w:val="Policepardfaut"/>
    <w:link w:val="Titre3"/>
    <w:uiPriority w:val="9"/>
    <w:semiHidden/>
    <w:rsid w:val="00AD32C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4Car">
    <w:name w:val="Titre 4 Car"/>
    <w:basedOn w:val="Policepardfaut"/>
    <w:link w:val="Titre4"/>
    <w:uiPriority w:val="9"/>
    <w:semiHidden/>
    <w:rsid w:val="00AD32C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D32C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D32C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AD32C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8Car">
    <w:name w:val="Titre 8 Car"/>
    <w:basedOn w:val="Policepardfaut"/>
    <w:link w:val="Titre8"/>
    <w:uiPriority w:val="9"/>
    <w:semiHidden/>
    <w:rsid w:val="00AD32C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re9Car">
    <w:name w:val="Titre 9 Car"/>
    <w:basedOn w:val="Policepardfaut"/>
    <w:link w:val="Titre9"/>
    <w:uiPriority w:val="9"/>
    <w:semiHidden/>
    <w:rsid w:val="00AD32C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AD32C5"/>
    <w:rPr>
      <w:b/>
      <w:bCs/>
      <w:color w:val="943634" w:themeColor="accent2" w:themeShade="BF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AD32C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AD32C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D32C5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Sous-titreCar">
    <w:name w:val="Sous-titre Car"/>
    <w:basedOn w:val="Policepardfaut"/>
    <w:link w:val="Sous-titre"/>
    <w:uiPriority w:val="11"/>
    <w:rsid w:val="00AD32C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lev">
    <w:name w:val="Strong"/>
    <w:uiPriority w:val="22"/>
    <w:qFormat/>
    <w:rsid w:val="00AD32C5"/>
    <w:rPr>
      <w:b/>
      <w:bCs/>
      <w:spacing w:val="0"/>
    </w:rPr>
  </w:style>
  <w:style w:type="character" w:styleId="Accentuation">
    <w:name w:val="Emphasis"/>
    <w:uiPriority w:val="20"/>
    <w:qFormat/>
    <w:rsid w:val="00AD32C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Sansinterligne">
    <w:name w:val="No Spacing"/>
    <w:basedOn w:val="Normal"/>
    <w:link w:val="SansinterligneCar"/>
    <w:uiPriority w:val="1"/>
    <w:qFormat/>
    <w:rsid w:val="00AD32C5"/>
  </w:style>
  <w:style w:type="character" w:customStyle="1" w:styleId="SansinterligneCar">
    <w:name w:val="Sans interligne Car"/>
    <w:basedOn w:val="Policepardfaut"/>
    <w:link w:val="Sansinterligne"/>
    <w:uiPriority w:val="1"/>
    <w:rsid w:val="00AD32C5"/>
    <w:rPr>
      <w:i/>
      <w:i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AD32C5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AD32C5"/>
    <w:rPr>
      <w:color w:val="943634" w:themeColor="accent2" w:themeShade="BF"/>
    </w:rPr>
  </w:style>
  <w:style w:type="character" w:customStyle="1" w:styleId="CitationCar">
    <w:name w:val="Citation Car"/>
    <w:basedOn w:val="Policepardfaut"/>
    <w:link w:val="Citation"/>
    <w:uiPriority w:val="29"/>
    <w:rsid w:val="00AD32C5"/>
    <w:rPr>
      <w:color w:val="943634" w:themeColor="accent2" w:themeShade="BF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D32C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D32C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mphaseple">
    <w:name w:val="Subtle Emphasis"/>
    <w:uiPriority w:val="19"/>
    <w:qFormat/>
    <w:rsid w:val="00AD32C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mphaseintense">
    <w:name w:val="Intense Emphasis"/>
    <w:uiPriority w:val="21"/>
    <w:qFormat/>
    <w:rsid w:val="00AD32C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frenceple">
    <w:name w:val="Subtle Reference"/>
    <w:uiPriority w:val="31"/>
    <w:qFormat/>
    <w:rsid w:val="00AD32C5"/>
    <w:rPr>
      <w:i/>
      <w:iCs/>
      <w:smallCaps/>
      <w:color w:val="C0504D" w:themeColor="accent2"/>
      <w:u w:color="C0504D" w:themeColor="accent2"/>
    </w:rPr>
  </w:style>
  <w:style w:type="character" w:styleId="Rfrenceintense">
    <w:name w:val="Intense Reference"/>
    <w:uiPriority w:val="32"/>
    <w:qFormat/>
    <w:rsid w:val="00AD32C5"/>
    <w:rPr>
      <w:b/>
      <w:bCs/>
      <w:i/>
      <w:iCs/>
      <w:smallCaps/>
      <w:color w:val="C0504D" w:themeColor="accent2"/>
      <w:u w:color="C0504D" w:themeColor="accent2"/>
    </w:rPr>
  </w:style>
  <w:style w:type="character" w:styleId="Titredulivre">
    <w:name w:val="Book Title"/>
    <w:uiPriority w:val="33"/>
    <w:qFormat/>
    <w:rsid w:val="00AD32C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AD32C5"/>
    <w:pPr>
      <w:outlineLvl w:val="9"/>
    </w:pPr>
  </w:style>
  <w:style w:type="paragraph" w:styleId="En-tte">
    <w:name w:val="header"/>
    <w:basedOn w:val="Normal"/>
    <w:link w:val="En-tteCar"/>
    <w:rsid w:val="001F181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F1819"/>
    <w:rPr>
      <w:rFonts w:ascii="Times New Roman" w:eastAsia="Times New Roman" w:hAnsi="Times New Roman" w:cs="Times New Roman"/>
      <w:sz w:val="24"/>
      <w:szCs w:val="24"/>
      <w:lang w:val="fr-FR" w:eastAsia="fr-FR" w:bidi="ar-SA"/>
    </w:rPr>
  </w:style>
  <w:style w:type="paragraph" w:styleId="Pieddepage">
    <w:name w:val="footer"/>
    <w:basedOn w:val="Normal"/>
    <w:link w:val="PieddepageCar"/>
    <w:rsid w:val="001F181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1F1819"/>
    <w:rPr>
      <w:rFonts w:ascii="Times New Roman" w:eastAsia="Times New Roman" w:hAnsi="Times New Roman" w:cs="Times New Roman"/>
      <w:sz w:val="24"/>
      <w:szCs w:val="24"/>
      <w:lang w:val="fr-FR" w:eastAsia="fr-FR" w:bidi="ar-SA"/>
    </w:rPr>
  </w:style>
  <w:style w:type="table" w:styleId="Grilledutableau">
    <w:name w:val="Table Grid"/>
    <w:basedOn w:val="TableauNormal"/>
    <w:uiPriority w:val="59"/>
    <w:rsid w:val="001F1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">
    <w:name w:val="par"/>
    <w:basedOn w:val="Normal"/>
    <w:rsid w:val="001F1819"/>
    <w:pPr>
      <w:tabs>
        <w:tab w:val="left" w:pos="567"/>
        <w:tab w:val="left" w:pos="924"/>
      </w:tabs>
      <w:spacing w:line="360" w:lineRule="auto"/>
      <w:jc w:val="both"/>
    </w:pPr>
    <w:rPr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181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1819"/>
    <w:rPr>
      <w:rFonts w:ascii="Tahoma" w:eastAsia="Times New Roman" w:hAnsi="Tahoma" w:cs="Tahoma"/>
      <w:sz w:val="16"/>
      <w:szCs w:val="16"/>
      <w:lang w:val="fr-FR" w:eastAsia="fr-FR" w:bidi="ar-SA"/>
    </w:rPr>
  </w:style>
  <w:style w:type="table" w:customStyle="1" w:styleId="Ombrageclair">
    <w:name w:val="Light Shading"/>
    <w:basedOn w:val="TableauNormal"/>
    <w:uiPriority w:val="60"/>
    <w:rsid w:val="00CB7EE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663DBB-27BE-4916-9BA9-F8923BF7A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372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SAID</cp:lastModifiedBy>
  <cp:revision>12</cp:revision>
  <dcterms:created xsi:type="dcterms:W3CDTF">2014-04-04T18:57:00Z</dcterms:created>
  <dcterms:modified xsi:type="dcterms:W3CDTF">2014-06-22T16:26:00Z</dcterms:modified>
</cp:coreProperties>
</file>